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Вариант 1. Права человека в сфере труда</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Индивидуальные и коллективные права в сфере труда.</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Реализация права работника на защиту его персональных данных.</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Самозащита работниками трудовых прав.</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Задача</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Воспитательница детского сада Светлова 4 сентября 2009 г. не получила зарплату за август 2009 г. 15 сентября 2009 г. Светлова предупредила заведующую детского сада, о том, что она приостанавливает работу до выплаты заработной платы. 16 сентября 2009г. Светлова на работу не вышла, а 18 сентября 2009 г. она была уволена за совершение прогула.</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Дайте обоснованную правовую оценку действий работника и работодателя.</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Нормативно-правовые и иные акты</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Конституция Российской Федерации. Принята всенародным голосованием 12 декабря 1993г. // Российская газета. </w:t>
      </w:r>
      <w:r>
        <w:rPr>
          <w:rFonts w:ascii="Times New Roman" w:hAnsi="Times New Roman" w:cs="Times New Roman" w:eastAsia="Times New Roman"/>
          <w:b/>
          <w:color w:val="auto"/>
          <w:spacing w:val="0"/>
          <w:position w:val="0"/>
          <w:sz w:val="28"/>
          <w:shd w:fill="auto" w:val="clear"/>
        </w:rPr>
        <w:t xml:space="preserve">– 1993 – 25 </w:t>
      </w:r>
      <w:r>
        <w:rPr>
          <w:rFonts w:ascii="Times New Roman" w:hAnsi="Times New Roman" w:cs="Times New Roman" w:eastAsia="Times New Roman"/>
          <w:b/>
          <w:color w:val="auto"/>
          <w:spacing w:val="0"/>
          <w:position w:val="0"/>
          <w:sz w:val="28"/>
          <w:shd w:fill="auto" w:val="clear"/>
        </w:rPr>
        <w:t xml:space="preserve">декабря;</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Всеобщая декларация прав человека (принята на третьей сессии Генеральной Ассамблеи ООН резолюцией 217 А (III) от 10 декабря 1948 г.) // Библиотечка Российской газеты. </w:t>
      </w:r>
      <w:r>
        <w:rPr>
          <w:rFonts w:ascii="Times New Roman" w:hAnsi="Times New Roman" w:cs="Times New Roman" w:eastAsia="Times New Roman"/>
          <w:b/>
          <w:color w:val="auto"/>
          <w:spacing w:val="0"/>
          <w:position w:val="0"/>
          <w:sz w:val="28"/>
          <w:shd w:fill="auto" w:val="clear"/>
        </w:rPr>
        <w:t xml:space="preserve">– 1999. –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22-23.</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Международный пакт об экономических, социальных и культурных правах (Ратифицирован Указом Президиума ВС СССР от 18 сентября 1973 г.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4812-VIII. </w:t>
      </w:r>
      <w:r>
        <w:rPr>
          <w:rFonts w:ascii="Times New Roman" w:hAnsi="Times New Roman" w:cs="Times New Roman" w:eastAsia="Times New Roman"/>
          <w:b/>
          <w:color w:val="auto"/>
          <w:spacing w:val="0"/>
          <w:position w:val="0"/>
          <w:sz w:val="28"/>
          <w:shd w:fill="auto" w:val="clear"/>
        </w:rPr>
        <w:t xml:space="preserve">Вступил в силу для России с 3 января 1976 г.) // Ведомости Верховного Совета СССР, 1976 г. </w:t>
      </w:r>
      <w:r>
        <w:rPr>
          <w:rFonts w:ascii="Times New Roman" w:hAnsi="Times New Roman" w:cs="Times New Roman" w:eastAsia="Times New Roman"/>
          <w:b/>
          <w:color w:val="auto"/>
          <w:spacing w:val="0"/>
          <w:position w:val="0"/>
          <w:sz w:val="28"/>
          <w:shd w:fill="auto" w:val="clear"/>
        </w:rPr>
        <w:t xml:space="preserve">–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17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ст.1831.</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Международный пакт о гражданских и политических правах (Ратифицирован Указом Президиума ВС СССР от 18 сентября 1973 г.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4812-VIII. </w:t>
      </w:r>
      <w:r>
        <w:rPr>
          <w:rFonts w:ascii="Times New Roman" w:hAnsi="Times New Roman" w:cs="Times New Roman" w:eastAsia="Times New Roman"/>
          <w:b/>
          <w:color w:val="auto"/>
          <w:spacing w:val="0"/>
          <w:position w:val="0"/>
          <w:sz w:val="28"/>
          <w:shd w:fill="auto" w:val="clear"/>
        </w:rPr>
        <w:t xml:space="preserve">Вступил в силу для СССР 23</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Конвенция Международной Организации Труда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111 </w:t>
      </w:r>
      <w:r>
        <w:rPr>
          <w:rFonts w:ascii="Times New Roman" w:hAnsi="Times New Roman" w:cs="Times New Roman" w:eastAsia="Times New Roman"/>
          <w:b/>
          <w:color w:val="auto"/>
          <w:spacing w:val="0"/>
          <w:position w:val="0"/>
          <w:sz w:val="28"/>
          <w:shd w:fill="auto" w:val="clear"/>
        </w:rPr>
        <w:t xml:space="preserve">о дискриминации в области труда и занятий (Женева, 4 июня 1958 г.). Конвенция вступила в силу 15 июня 1960 г. Конвенция ратифицирована РСФСР 4 мая 1961 г. // Библиотечка Российской газеты. </w:t>
      </w:r>
      <w:r>
        <w:rPr>
          <w:rFonts w:ascii="Times New Roman" w:hAnsi="Times New Roman" w:cs="Times New Roman" w:eastAsia="Times New Roman"/>
          <w:b/>
          <w:color w:val="auto"/>
          <w:spacing w:val="0"/>
          <w:position w:val="0"/>
          <w:sz w:val="28"/>
          <w:shd w:fill="auto" w:val="clear"/>
        </w:rPr>
        <w:t xml:space="preserve">– 1999. –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22-23.;</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Трудовой кодекс Российской Федерации от 30 декабря 2001г.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197-</w:t>
      </w:r>
      <w:r>
        <w:rPr>
          <w:rFonts w:ascii="Times New Roman" w:hAnsi="Times New Roman" w:cs="Times New Roman" w:eastAsia="Times New Roman"/>
          <w:b/>
          <w:color w:val="auto"/>
          <w:spacing w:val="0"/>
          <w:position w:val="0"/>
          <w:sz w:val="28"/>
          <w:shd w:fill="auto" w:val="clear"/>
        </w:rPr>
        <w:t xml:space="preserve">ФЗ // СЗ РФ. </w:t>
      </w:r>
      <w:r>
        <w:rPr>
          <w:rFonts w:ascii="Times New Roman" w:hAnsi="Times New Roman" w:cs="Times New Roman" w:eastAsia="Times New Roman"/>
          <w:b/>
          <w:color w:val="auto"/>
          <w:spacing w:val="0"/>
          <w:position w:val="0"/>
          <w:sz w:val="28"/>
          <w:shd w:fill="auto" w:val="clear"/>
        </w:rPr>
        <w:t xml:space="preserve">– 2002. –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ч.1);</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Закон РФ от 19 апреля 1991г.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1032-1 «</w:t>
      </w:r>
      <w:r>
        <w:rPr>
          <w:rFonts w:ascii="Times New Roman" w:hAnsi="Times New Roman" w:cs="Times New Roman" w:eastAsia="Times New Roman"/>
          <w:b/>
          <w:color w:val="auto"/>
          <w:spacing w:val="0"/>
          <w:position w:val="0"/>
          <w:sz w:val="28"/>
          <w:shd w:fill="auto" w:val="clear"/>
        </w:rPr>
        <w:t xml:space="preserve">О занятости населения в РФ</w:t>
      </w:r>
      <w:r>
        <w:rPr>
          <w:rFonts w:ascii="Times New Roman" w:hAnsi="Times New Roman" w:cs="Times New Roman" w:eastAsia="Times New Roman"/>
          <w:b/>
          <w:color w:val="auto"/>
          <w:spacing w:val="0"/>
          <w:position w:val="0"/>
          <w:sz w:val="28"/>
          <w:shd w:fill="auto" w:val="clear"/>
        </w:rPr>
        <w:t xml:space="preserve">» // </w:t>
      </w:r>
      <w:r>
        <w:rPr>
          <w:rFonts w:ascii="Times New Roman" w:hAnsi="Times New Roman" w:cs="Times New Roman" w:eastAsia="Times New Roman"/>
          <w:b/>
          <w:color w:val="auto"/>
          <w:spacing w:val="0"/>
          <w:position w:val="0"/>
          <w:sz w:val="28"/>
          <w:shd w:fill="auto" w:val="clear"/>
        </w:rPr>
        <w:t xml:space="preserve">Ведомости Съезда народных депутатов РФ и Верховного Совета РФ. </w:t>
      </w:r>
      <w:r>
        <w:rPr>
          <w:rFonts w:ascii="Times New Roman" w:hAnsi="Times New Roman" w:cs="Times New Roman" w:eastAsia="Times New Roman"/>
          <w:b/>
          <w:color w:val="auto"/>
          <w:spacing w:val="0"/>
          <w:position w:val="0"/>
          <w:sz w:val="28"/>
          <w:shd w:fill="auto" w:val="clear"/>
        </w:rPr>
        <w:t xml:space="preserve">– 1991. –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18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ст. 566.;</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Федеральный закон РФ от 12 января 1996г.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10-</w:t>
      </w:r>
      <w:r>
        <w:rPr>
          <w:rFonts w:ascii="Times New Roman" w:hAnsi="Times New Roman" w:cs="Times New Roman" w:eastAsia="Times New Roman"/>
          <w:b/>
          <w:color w:val="auto"/>
          <w:spacing w:val="0"/>
          <w:position w:val="0"/>
          <w:sz w:val="28"/>
          <w:shd w:fill="auto" w:val="clear"/>
        </w:rPr>
        <w:t xml:space="preserve">ФЗ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О профессиональных союзах, их правах и гарантиях деятельности</w:t>
      </w:r>
      <w:r>
        <w:rPr>
          <w:rFonts w:ascii="Times New Roman" w:hAnsi="Times New Roman" w:cs="Times New Roman" w:eastAsia="Times New Roman"/>
          <w:b/>
          <w:color w:val="auto"/>
          <w:spacing w:val="0"/>
          <w:position w:val="0"/>
          <w:sz w:val="28"/>
          <w:shd w:fill="auto" w:val="clear"/>
        </w:rPr>
        <w:t xml:space="preserve">» // </w:t>
      </w:r>
      <w:r>
        <w:rPr>
          <w:rFonts w:ascii="Times New Roman" w:hAnsi="Times New Roman" w:cs="Times New Roman" w:eastAsia="Times New Roman"/>
          <w:b/>
          <w:color w:val="auto"/>
          <w:spacing w:val="0"/>
          <w:position w:val="0"/>
          <w:sz w:val="28"/>
          <w:shd w:fill="auto" w:val="clear"/>
        </w:rPr>
        <w:t xml:space="preserve">СЗ РФ. </w:t>
      </w:r>
      <w:r>
        <w:rPr>
          <w:rFonts w:ascii="Times New Roman" w:hAnsi="Times New Roman" w:cs="Times New Roman" w:eastAsia="Times New Roman"/>
          <w:b/>
          <w:color w:val="auto"/>
          <w:spacing w:val="0"/>
          <w:position w:val="0"/>
          <w:sz w:val="28"/>
          <w:shd w:fill="auto" w:val="clear"/>
        </w:rPr>
        <w:t xml:space="preserve">– 1996. –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1.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ст.1;</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Федеральный закон от 25 июля 2002 г.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115-</w:t>
      </w:r>
      <w:r>
        <w:rPr>
          <w:rFonts w:ascii="Times New Roman" w:hAnsi="Times New Roman" w:cs="Times New Roman" w:eastAsia="Times New Roman"/>
          <w:b/>
          <w:color w:val="auto"/>
          <w:spacing w:val="0"/>
          <w:position w:val="0"/>
          <w:sz w:val="28"/>
          <w:shd w:fill="auto" w:val="clear"/>
        </w:rPr>
        <w:t xml:space="preserve">ФЗ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О правовом положении иностранных граждан в Российской Федерации</w:t>
      </w:r>
      <w:r>
        <w:rPr>
          <w:rFonts w:ascii="Times New Roman" w:hAnsi="Times New Roman" w:cs="Times New Roman" w:eastAsia="Times New Roman"/>
          <w:b/>
          <w:color w:val="auto"/>
          <w:spacing w:val="0"/>
          <w:position w:val="0"/>
          <w:sz w:val="28"/>
          <w:shd w:fill="auto" w:val="clear"/>
        </w:rPr>
        <w:t xml:space="preserve">» // </w:t>
      </w:r>
      <w:r>
        <w:rPr>
          <w:rFonts w:ascii="Times New Roman" w:hAnsi="Times New Roman" w:cs="Times New Roman" w:eastAsia="Times New Roman"/>
          <w:b/>
          <w:color w:val="auto"/>
          <w:spacing w:val="0"/>
          <w:position w:val="0"/>
          <w:sz w:val="28"/>
          <w:shd w:fill="auto" w:val="clear"/>
        </w:rPr>
        <w:t xml:space="preserve">СЗ РФ. </w:t>
      </w:r>
      <w:r>
        <w:rPr>
          <w:rFonts w:ascii="Times New Roman" w:hAnsi="Times New Roman" w:cs="Times New Roman" w:eastAsia="Times New Roman"/>
          <w:b/>
          <w:color w:val="auto"/>
          <w:spacing w:val="0"/>
          <w:position w:val="0"/>
          <w:sz w:val="28"/>
          <w:shd w:fill="auto" w:val="clear"/>
        </w:rPr>
        <w:t xml:space="preserve">– 2002. –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30.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ст.3032;</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Федеральный закон от 27 июля 2006 г.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152-</w:t>
      </w:r>
      <w:r>
        <w:rPr>
          <w:rFonts w:ascii="Times New Roman" w:hAnsi="Times New Roman" w:cs="Times New Roman" w:eastAsia="Times New Roman"/>
          <w:b/>
          <w:color w:val="auto"/>
          <w:spacing w:val="0"/>
          <w:position w:val="0"/>
          <w:sz w:val="28"/>
          <w:shd w:fill="auto" w:val="clear"/>
        </w:rPr>
        <w:t xml:space="preserve">ФЗ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О персональных данных</w:t>
      </w:r>
      <w:r>
        <w:rPr>
          <w:rFonts w:ascii="Times New Roman" w:hAnsi="Times New Roman" w:cs="Times New Roman" w:eastAsia="Times New Roman"/>
          <w:b/>
          <w:color w:val="auto"/>
          <w:spacing w:val="0"/>
          <w:position w:val="0"/>
          <w:sz w:val="28"/>
          <w:shd w:fill="auto" w:val="clear"/>
        </w:rPr>
        <w:t xml:space="preserve">» // </w:t>
      </w:r>
      <w:r>
        <w:rPr>
          <w:rFonts w:ascii="Times New Roman" w:hAnsi="Times New Roman" w:cs="Times New Roman" w:eastAsia="Times New Roman"/>
          <w:b/>
          <w:color w:val="auto"/>
          <w:spacing w:val="0"/>
          <w:position w:val="0"/>
          <w:sz w:val="28"/>
          <w:shd w:fill="auto" w:val="clear"/>
        </w:rPr>
        <w:t xml:space="preserve">РГ. </w:t>
      </w:r>
      <w:r>
        <w:rPr>
          <w:rFonts w:ascii="Times New Roman" w:hAnsi="Times New Roman" w:cs="Times New Roman" w:eastAsia="Times New Roman"/>
          <w:b/>
          <w:color w:val="auto"/>
          <w:spacing w:val="0"/>
          <w:position w:val="0"/>
          <w:sz w:val="28"/>
          <w:shd w:fill="auto" w:val="clear"/>
        </w:rPr>
        <w:t xml:space="preserve">– 2006. –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165.;</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Рекомендуемая литература</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Книги</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Анисимов Л.Н. Трудовой договор: права и обязанности сторон.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Деловой двор, 2009.</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Андрияхина А.М., Гущина К.О. Защита трудовых прав граждан: Практическое пособие Дашков и К, 2008.</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Андреева Л.А., Гусов К.Н., Медведев О.М. Незаконное увольнение: научно-практическое пособие / под редакцией К.Н.Гусова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Проспект, 2009;</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Киселев И.Я. Трудовое право России и зарубежных стран : учебник М.: ООО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Эксмо</w:t>
      </w:r>
      <w:r>
        <w:rPr>
          <w:rFonts w:ascii="Times New Roman" w:hAnsi="Times New Roman" w:cs="Times New Roman" w:eastAsia="Times New Roman"/>
          <w:b/>
          <w:color w:val="auto"/>
          <w:spacing w:val="0"/>
          <w:position w:val="0"/>
          <w:sz w:val="28"/>
          <w:shd w:fill="auto" w:val="clear"/>
        </w:rPr>
        <w:t xml:space="preserve">», 2005;</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Никонов Д.А., Стремоухов А.В. Трудовое право: Курс лекций.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М.: Норма, 2007.</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Орловский Ю.П. Трудовое право России : учебник. М.: ООО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МЦФЭР</w:t>
      </w:r>
      <w:r>
        <w:rPr>
          <w:rFonts w:ascii="Times New Roman" w:hAnsi="Times New Roman" w:cs="Times New Roman" w:eastAsia="Times New Roman"/>
          <w:b/>
          <w:color w:val="auto"/>
          <w:spacing w:val="0"/>
          <w:position w:val="0"/>
          <w:sz w:val="28"/>
          <w:shd w:fill="auto" w:val="clear"/>
        </w:rPr>
        <w:t xml:space="preserve">», 2004;</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Пресняков М.В., Чанов С.Е. Трудовое право России: Учебник.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М.: Юристъ, 2007.;</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Трудовое право России: учебник для вузов / А.В.Завгородний, В.В.Коробченко, А.В.Кузьменко и др.; под общ. Ред. Е.Б.Хохлова, В.А.Сафонова.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М.: ООО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Юрайт-Издат</w:t>
      </w:r>
      <w:r>
        <w:rPr>
          <w:rFonts w:ascii="Times New Roman" w:hAnsi="Times New Roman" w:cs="Times New Roman" w:eastAsia="Times New Roman"/>
          <w:b/>
          <w:color w:val="auto"/>
          <w:spacing w:val="0"/>
          <w:position w:val="0"/>
          <w:sz w:val="28"/>
          <w:shd w:fill="auto" w:val="clear"/>
        </w:rPr>
        <w:t xml:space="preserve">», 2008;</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Статьи</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Викторов И.С. Терентьева Е.В. Современное состояние сферы трудовых прав граждан. // Трудовое право. </w:t>
      </w:r>
      <w:r>
        <w:rPr>
          <w:rFonts w:ascii="Times New Roman" w:hAnsi="Times New Roman" w:cs="Times New Roman" w:eastAsia="Times New Roman"/>
          <w:b/>
          <w:color w:val="auto"/>
          <w:spacing w:val="0"/>
          <w:position w:val="0"/>
          <w:sz w:val="28"/>
          <w:shd w:fill="auto" w:val="clear"/>
        </w:rPr>
        <w:t xml:space="preserve">– 2007. –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4.</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Долова А.З. Основания возникновения индивидуальных и коллективных трудовых отношений // Трудовое право. </w:t>
      </w:r>
      <w:r>
        <w:rPr>
          <w:rFonts w:ascii="Times New Roman" w:hAnsi="Times New Roman" w:cs="Times New Roman" w:eastAsia="Times New Roman"/>
          <w:b/>
          <w:color w:val="auto"/>
          <w:spacing w:val="0"/>
          <w:position w:val="0"/>
          <w:sz w:val="28"/>
          <w:shd w:fill="auto" w:val="clear"/>
        </w:rPr>
        <w:t xml:space="preserve">– 2008. –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10;</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Дунаев П.К. Выплата заработной платы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не реже чем каждые полмесяца. // Трудовое право. </w:t>
      </w:r>
      <w:r>
        <w:rPr>
          <w:rFonts w:ascii="Times New Roman" w:hAnsi="Times New Roman" w:cs="Times New Roman" w:eastAsia="Times New Roman"/>
          <w:b/>
          <w:color w:val="auto"/>
          <w:spacing w:val="0"/>
          <w:position w:val="0"/>
          <w:sz w:val="28"/>
          <w:shd w:fill="auto" w:val="clear"/>
        </w:rPr>
        <w:t xml:space="preserve">– 2008. –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11.</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Лютов Н.Л. Права работников и предпринимателей в ЕС: сопоставление с российским законодательством // Трудовое право. </w:t>
      </w:r>
      <w:r>
        <w:rPr>
          <w:rFonts w:ascii="Times New Roman" w:hAnsi="Times New Roman" w:cs="Times New Roman" w:eastAsia="Times New Roman"/>
          <w:b/>
          <w:color w:val="auto"/>
          <w:spacing w:val="0"/>
          <w:position w:val="0"/>
          <w:sz w:val="28"/>
          <w:shd w:fill="auto" w:val="clear"/>
        </w:rPr>
        <w:t xml:space="preserve">– 2009. –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1;</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Пелешенко Ю.И. Профессиональные союзы на защите трудовых прав работников. // Справочник кадровика. </w:t>
      </w:r>
      <w:r>
        <w:rPr>
          <w:rFonts w:ascii="Times New Roman" w:hAnsi="Times New Roman" w:cs="Times New Roman" w:eastAsia="Times New Roman"/>
          <w:b/>
          <w:color w:val="auto"/>
          <w:spacing w:val="0"/>
          <w:position w:val="0"/>
          <w:sz w:val="28"/>
          <w:shd w:fill="auto" w:val="clear"/>
        </w:rPr>
        <w:t xml:space="preserve">– 2006. –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2-</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3.</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Петров А.Я. Права профсоюзов в сфере труда и гарантии их деятельности. // Трудовое право. </w:t>
      </w:r>
      <w:r>
        <w:rPr>
          <w:rFonts w:ascii="Times New Roman" w:hAnsi="Times New Roman" w:cs="Times New Roman" w:eastAsia="Times New Roman"/>
          <w:b/>
          <w:color w:val="auto"/>
          <w:spacing w:val="0"/>
          <w:position w:val="0"/>
          <w:sz w:val="28"/>
          <w:shd w:fill="auto" w:val="clear"/>
        </w:rPr>
        <w:t xml:space="preserve">– 2007. –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5.</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Петров А.Я. О персональных данных работника: современное состояние правового регулирования. // Трудовое право. </w:t>
      </w:r>
      <w:r>
        <w:rPr>
          <w:rFonts w:ascii="Times New Roman" w:hAnsi="Times New Roman" w:cs="Times New Roman" w:eastAsia="Times New Roman"/>
          <w:b/>
          <w:color w:val="auto"/>
          <w:spacing w:val="0"/>
          <w:position w:val="0"/>
          <w:sz w:val="28"/>
          <w:shd w:fill="auto" w:val="clear"/>
        </w:rPr>
        <w:t xml:space="preserve">– 2008. –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4.</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Сапфирова А.А. Способы защиты трудовых прав, свобод и правовых интересов в сфере труда внесудебными органами государства. // Трудовое право. </w:t>
      </w:r>
      <w:r>
        <w:rPr>
          <w:rFonts w:ascii="Times New Roman" w:hAnsi="Times New Roman" w:cs="Times New Roman" w:eastAsia="Times New Roman"/>
          <w:b/>
          <w:color w:val="auto"/>
          <w:spacing w:val="0"/>
          <w:position w:val="0"/>
          <w:sz w:val="28"/>
          <w:shd w:fill="auto" w:val="clear"/>
        </w:rPr>
        <w:t xml:space="preserve">– 2008. –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8.</w:t>
      </w:r>
      <w:r>
        <w:rPr>
          <w:rFonts w:ascii="Times New Roman" w:hAnsi="Times New Roman" w:cs="Times New Roman" w:eastAsia="Times New Roman"/>
          <w:b/>
          <w:color w:val="auto"/>
          <w:spacing w:val="0"/>
          <w:position w:val="0"/>
          <w:sz w:val="28"/>
          <w:shd w:fill="auto" w:val="clear"/>
        </w:rPr>
        <w:t xml:space="preserve">Методические указания по выполнению контрольной работы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Общие указания.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Контрольная работа является одной из форм учебной работы по самостоятельному изучению студентами курса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Трудовое право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Целью выполнения письменной контрольной работы является привитие студентам умения и навыков пользования монографической литературой, законодательством, нормативными, информационными и другими материалами, научить студентов проводить анализ правоприменительной практики, юридически правильно квалифицировать факты и обстоятельства, решать учебно-практические задачи, обосновывать принимаемые решения и грамотно их излагать.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Задания для контрольной работы состоят из десяти вариантов. Каждый вариант состоит из теоретической и практической частей. В теоретическую часть входит один вопрос, при ответе на который студенту следует руководствоваться предложенным планом. Практическая часть состоит из одной ситуационной задачи. Конкретный вариант, выполняемый студентом, определяется последней цифрой номера его зачетной книжки (десятый вариант выполняют студенты, номер зачетной книжки которых оканчивается на 0). Вариант контрольной работы может быть изменен только по согласованию с преподавателем. При несоблюдении данного условия контрольная работа оценивается как не зачтенная.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облегчения подготовки контрольной работы к каждой теме дается примерный перечень литературы и нормативных актов. Студентам следует учитывать, что указанные перечни не являются исчерпывающими. В настоящее время идет процесс активного реформирования трудового законодательства, сопровождающийся принятием новых нормативных актов, регулирующих трудовые отношения, внесением изменений в действующую нормативную базу, а также пересмотром отдельных теоретических концепций трудового права. Все это требует внимательного изучения, как трудового законодательства, так и новейшей литературы по проблемам трудового права, включая монографии и статьи в периодических журналах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Государство и право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Трудовое право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Трудовые споры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др. Кроме того, необходимо изучить сформировавшуюся правоприменительную практику. С этой целью следует использовать специализированные издания, такие как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Бюллетень Верховного Суда РФ</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др.</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подготовке к выполнению контрольной работы рекомендуется использовать электронные правовые базы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Гарант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КонсультантПлюс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др., а также материалы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размещенные на официальных сайтах, примерный перечень которых приведен в разделе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Источники в сети Интернет</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Требования к содержанию контрольной работы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Работа должна носить самостоятельный характер и полностью раскрывать избранную тему (п.2.1 Положения).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Структурно работа должна состоять из плана, основного содержания, и библиографического списка (списка использованных источников).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приложениях к работе могут быть приведены таблицы, схемы, диаграммы и другие прикладные материалы, иллюстрирующие основной текст. Приложения располагаются после библиографического списка. Для написания рецензии в работе после титульного листа должен быть подшит чистый лист бумаги.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Библиографический список должен содержать: нормативно-правовые акты и юридические документы; книги и монографии; научные статьи; материалы периодической печати и практики.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выполнению теоретической части контрольной работы студент должен основательно подготовиться, изучив основные положения общей части курса, без знания которых невозможно понимание предмета в целом и правильное освещение отдельных его институтов. При ответах на теоретические вопросы следует использовать рекомендованную литературу и нормативный материал. Не следует механически переписывать содержание рекомендованных источников, необходимо стремиться излагать изученный материал своими словами. Все приводимые при этом цитаты должны быть правильно оформлены.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Ответ на теоретический вопрос не должен быть слишком объёмным, следует стремиться раскрыть наиболее принципиальные, существенные черты рассматриваемого вопроса. В ответе на теоретический вопрос должны содержаться следующие моменты:</w:t>
      </w:r>
    </w:p>
    <w:p>
      <w:pPr>
        <w:tabs>
          <w:tab w:val="left" w:pos="1069"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определения всех основных понятий;</w:t>
      </w:r>
    </w:p>
    <w:p>
      <w:pPr>
        <w:tabs>
          <w:tab w:val="left" w:pos="1069"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названия основных нормативных актов, относящихся к данному вопросу;</w:t>
      </w:r>
    </w:p>
    <w:p>
      <w:pPr>
        <w:tabs>
          <w:tab w:val="left" w:pos="1069"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содержание правовых норм, регулирующих этот вид отношений;</w:t>
      </w:r>
    </w:p>
    <w:p>
      <w:pPr>
        <w:tabs>
          <w:tab w:val="left" w:pos="1069"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основные особенности применения этих норм на практике.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Желательно также кратко изложить основные теоретические положения, высказывания по рассматриваемому вопросу в юридической литературе.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решении задачи необходимо тщательно проанализировать изложенные фактические обстоятельства, необходимо установить характер возникших правоотношений, а далее с учетом характера и видов возникших правоотношений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определить, какие нормативные правовые акты необходимо применить. Изучив содержание этих нормативных актов можно приступать к решению задачи. При этом следует учитывать все обстоятельства, приведённые в задаче и предложить все возможные варианты решения.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решении задачи необходимо руководствоваться не только действующими нормативными актами, но и материалами судебной практики.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Решение задачи должно содержать: </w:t>
      </w:r>
    </w:p>
    <w:p>
      <w:pPr>
        <w:tabs>
          <w:tab w:val="left" w:pos="1069"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ответы на поставленные вопросы;</w:t>
      </w:r>
    </w:p>
    <w:p>
      <w:pPr>
        <w:tabs>
          <w:tab w:val="left" w:pos="1069"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краткую характеристику обстоятельств, на основании которых было принято такое решение;</w:t>
      </w:r>
    </w:p>
    <w:p>
      <w:pPr>
        <w:tabs>
          <w:tab w:val="left" w:pos="1069"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обоснование каждого этапа решения задачи с приведением ссылок на закон и материалы судебной практики.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письменном ответе на решение задачи недостаточно только сослаться на правовую норму, необходимо также изложить её содержание в части, относящейся к принятому решению, а также указать, какие именно условия задачи дают основания для её применения. Условие задачи переписывать не требуется, следует указать лишь вариант выполняемой контрольной работы и вопрос, на который дается ответ.</w:t>
      </w:r>
    </w:p>
    <w:p>
      <w:pPr>
        <w:spacing w:before="0" w:after="0" w:line="240"/>
        <w:ind w:right="0" w:left="0" w:firstLine="709"/>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Требования к оформлению контрольной работы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Текст работы должен быть выполнен на одной стороне листа бумаги формата А-4 (210х297 мм.). Общий объем контрольной работы не должен превышать 15 страниц печатного текста. Титульный лист, план, список литературы не входят в указанное число страниц. Допускается выполнение работы в рукописном варианте. При этом работа должна быть выполнена аккуратным и разборчивым почерком.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Работа выполняется шрифтом Arial, размер шрифта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11, </w:t>
      </w:r>
      <w:r>
        <w:rPr>
          <w:rFonts w:ascii="Times New Roman" w:hAnsi="Times New Roman" w:cs="Times New Roman" w:eastAsia="Times New Roman"/>
          <w:color w:val="auto"/>
          <w:spacing w:val="0"/>
          <w:position w:val="0"/>
          <w:sz w:val="28"/>
          <w:shd w:fill="auto" w:val="clear"/>
        </w:rPr>
        <w:t xml:space="preserve">междустрочный интервал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полуторный (1,5).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Поля страницы: сверху и снизу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см, слева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см, справа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1,5 </w:t>
      </w:r>
      <w:r>
        <w:rPr>
          <w:rFonts w:ascii="Times New Roman" w:hAnsi="Times New Roman" w:cs="Times New Roman" w:eastAsia="Times New Roman"/>
          <w:color w:val="auto"/>
          <w:spacing w:val="0"/>
          <w:position w:val="0"/>
          <w:sz w:val="28"/>
          <w:shd w:fill="auto" w:val="clear"/>
        </w:rPr>
        <w:t xml:space="preserve">см.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Оформление титульного листа производится по установленной форме (см. приложение).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Нумерация страниц обязательна. В конце работы ставиться дата выполнения и подпись студента.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b/>
          <w:color w:val="auto"/>
          <w:spacing w:val="0"/>
          <w:position w:val="0"/>
          <w:sz w:val="28"/>
          <w:shd w:fill="auto" w:val="clear"/>
        </w:rPr>
        <w:t xml:space="preserve">Регистрация контрольной работы.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Работа подлежит регистрации в установленном порядке на кафедре предпринимательского и финансового права. Незарегистрированные контрольные работы к рассмотрению не принимаются.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 </w:t>
      </w:r>
      <w:r>
        <w:rPr>
          <w:rFonts w:ascii="Times New Roman" w:hAnsi="Times New Roman" w:cs="Times New Roman" w:eastAsia="Times New Roman"/>
          <w:b/>
          <w:color w:val="auto"/>
          <w:spacing w:val="0"/>
          <w:position w:val="0"/>
          <w:sz w:val="28"/>
          <w:shd w:fill="auto" w:val="clear"/>
        </w:rPr>
        <w:t xml:space="preserve">Рецензирование контрольной работы.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Рецензирование работы проводится после её регистрации.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Контрольная работа не может быть оценена положительно если: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представляет собой текст, механически переписанный из учебников или иной литературы;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теоретические вопросы раскрыты поверхностно,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содержании работы допущены принципиальные ошибки,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применены нормативные акты утратившие силу,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соблюдены требования к оформлению работы.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наличии одного или нескольких из перечисленных замечаний работа оценивается как не зачтенная и возвращается студенту. Получив проверенную контрольную работу, студент должен внимательно ознакомиться с содержанием рецензии, выполнить все рекомендации преподавателя. После повторного выполнения рабата сдается на кафедру с обязательным приложением рецензии и не зачтенного варианта контрольной работы.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