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6B8" w:rsidRDefault="005A16B8" w:rsidP="005A16B8">
      <w:pPr>
        <w:shd w:val="clear" w:color="auto" w:fill="FFFFFF"/>
        <w:spacing w:after="0" w:line="240" w:lineRule="auto"/>
        <w:ind w:firstLine="709"/>
        <w:jc w:val="both"/>
        <w:rPr>
          <w:color w:val="000000"/>
          <w:spacing w:val="2"/>
          <w:szCs w:val="28"/>
        </w:rPr>
      </w:pPr>
    </w:p>
    <w:p w:rsidR="005A16B8" w:rsidRDefault="005A16B8" w:rsidP="005A16B8">
      <w:pPr>
        <w:shd w:val="clear" w:color="auto" w:fill="FFFFFF"/>
        <w:spacing w:after="0" w:line="240" w:lineRule="auto"/>
        <w:ind w:firstLine="709"/>
        <w:jc w:val="both"/>
        <w:rPr>
          <w:color w:val="000000"/>
          <w:spacing w:val="2"/>
          <w:szCs w:val="28"/>
        </w:rPr>
      </w:pPr>
    </w:p>
    <w:p w:rsidR="005A16B8" w:rsidRDefault="005A16B8" w:rsidP="005A16B8">
      <w:pPr>
        <w:shd w:val="clear" w:color="auto" w:fill="FFFFFF"/>
        <w:spacing w:after="0" w:line="240" w:lineRule="auto"/>
        <w:ind w:firstLine="709"/>
        <w:jc w:val="both"/>
        <w:rPr>
          <w:color w:val="000000"/>
          <w:spacing w:val="2"/>
          <w:szCs w:val="28"/>
        </w:rPr>
      </w:pPr>
      <w:r>
        <w:rPr>
          <w:color w:val="000000"/>
          <w:spacing w:val="2"/>
          <w:szCs w:val="28"/>
        </w:rPr>
        <w:t>Рекомендации</w:t>
      </w:r>
    </w:p>
    <w:p w:rsidR="005A16B8" w:rsidRPr="006000F3" w:rsidRDefault="005A16B8" w:rsidP="005A16B8">
      <w:pPr>
        <w:shd w:val="clear" w:color="auto" w:fill="FFFFFF"/>
        <w:spacing w:after="0" w:line="240" w:lineRule="auto"/>
        <w:ind w:firstLine="709"/>
        <w:jc w:val="both"/>
        <w:rPr>
          <w:szCs w:val="28"/>
        </w:rPr>
      </w:pPr>
    </w:p>
    <w:p w:rsidR="005A16B8" w:rsidRDefault="005A16B8" w:rsidP="005A16B8">
      <w:pPr>
        <w:pStyle w:val="4"/>
        <w:ind w:firstLine="709"/>
        <w:rPr>
          <w:szCs w:val="28"/>
        </w:rPr>
      </w:pPr>
    </w:p>
    <w:p w:rsidR="005A16B8" w:rsidRDefault="005A16B8">
      <w:r w:rsidRPr="00D760AA">
        <w:rPr>
          <w:szCs w:val="28"/>
        </w:rPr>
        <w:t>Выполненная в черновом варианте контрольная работа аккуратно, разборчивым почерком переписывается обучаемым от руки, либо перепечатывается через полтора интервала на компьютере. Объём содержательной части (введение, основная часть, заключение) контрольной работы, выполненной от руки, составляет от 12 страниц в формате ученической тетради, либо 16-18 страниц в объеме листа формата А-4. Объём содержательной части контрольной работы выполненной с использованием печатной техники, составляет 14-16 страниц в объеме формата А-4, отпечатанных четырнадцатым шрифтом «</w:t>
      </w:r>
      <w:r w:rsidRPr="00D760AA">
        <w:rPr>
          <w:szCs w:val="28"/>
          <w:lang w:val="en-US"/>
        </w:rPr>
        <w:t>Times</w:t>
      </w:r>
      <w:r w:rsidRPr="00D760AA">
        <w:rPr>
          <w:szCs w:val="28"/>
        </w:rPr>
        <w:t xml:space="preserve"> </w:t>
      </w:r>
      <w:r w:rsidRPr="00D760AA">
        <w:rPr>
          <w:szCs w:val="28"/>
          <w:lang w:val="en-US"/>
        </w:rPr>
        <w:t>New</w:t>
      </w:r>
      <w:r w:rsidRPr="00D760AA">
        <w:rPr>
          <w:szCs w:val="28"/>
        </w:rPr>
        <w:t xml:space="preserve"> </w:t>
      </w:r>
      <w:r w:rsidRPr="00D760AA">
        <w:rPr>
          <w:szCs w:val="28"/>
          <w:lang w:val="en-US"/>
        </w:rPr>
        <w:t>Roman</w:t>
      </w:r>
      <w:r w:rsidRPr="00D760AA">
        <w:rPr>
          <w:szCs w:val="28"/>
        </w:rPr>
        <w:t>». При переписывании контрольной работы должны соблюдаться поля и указываться номера страниц. Отдельные листы должны быть сброшюрованы. Размещение текста на обеих сторонах листа формата А-4 недопустимо</w:t>
      </w:r>
    </w:p>
    <w:p w:rsidR="005A16B8" w:rsidRPr="00D760AA" w:rsidRDefault="005A16B8" w:rsidP="005A16B8">
      <w:pPr>
        <w:shd w:val="clear" w:color="auto" w:fill="FFFFFF"/>
        <w:spacing w:after="0" w:line="240" w:lineRule="auto"/>
        <w:ind w:firstLine="709"/>
        <w:jc w:val="both"/>
        <w:rPr>
          <w:szCs w:val="28"/>
        </w:rPr>
      </w:pPr>
      <w:r w:rsidRPr="00D760AA">
        <w:rPr>
          <w:szCs w:val="28"/>
        </w:rPr>
        <w:t>Содержательная часть контрольной работы должна открываться её планом, в структуре которого следует отразить с указанием номера соответствующей страницы:</w:t>
      </w:r>
    </w:p>
    <w:p w:rsidR="005A16B8" w:rsidRPr="00D760AA" w:rsidRDefault="005A16B8" w:rsidP="005A16B8">
      <w:pPr>
        <w:numPr>
          <w:ilvl w:val="0"/>
          <w:numId w:val="2"/>
        </w:numPr>
        <w:shd w:val="clear" w:color="auto" w:fill="FFFFFF"/>
        <w:spacing w:after="0" w:line="240" w:lineRule="auto"/>
        <w:ind w:left="0" w:firstLine="709"/>
        <w:jc w:val="both"/>
        <w:rPr>
          <w:szCs w:val="28"/>
        </w:rPr>
      </w:pPr>
      <w:r w:rsidRPr="00D760AA">
        <w:rPr>
          <w:szCs w:val="28"/>
        </w:rPr>
        <w:t>введение, смысл которого состоит в постановке темы и обосновании её актуальности с позиций обучаемого;</w:t>
      </w:r>
    </w:p>
    <w:p w:rsidR="005A16B8" w:rsidRPr="00D760AA" w:rsidRDefault="005A16B8" w:rsidP="005A16B8">
      <w:pPr>
        <w:numPr>
          <w:ilvl w:val="0"/>
          <w:numId w:val="2"/>
        </w:numPr>
        <w:shd w:val="clear" w:color="auto" w:fill="FFFFFF"/>
        <w:spacing w:after="0" w:line="240" w:lineRule="auto"/>
        <w:ind w:left="0" w:firstLine="709"/>
        <w:jc w:val="both"/>
        <w:rPr>
          <w:szCs w:val="28"/>
        </w:rPr>
      </w:pPr>
      <w:r w:rsidRPr="00D760AA">
        <w:rPr>
          <w:szCs w:val="28"/>
        </w:rPr>
        <w:t>основную часть, содержащую учебные вопросы, рассмотрение которых направлено на раскрытие всей темы контрольной работы в целом;</w:t>
      </w:r>
    </w:p>
    <w:p w:rsidR="005A16B8" w:rsidRPr="00D760AA" w:rsidRDefault="005A16B8" w:rsidP="005A16B8">
      <w:pPr>
        <w:numPr>
          <w:ilvl w:val="0"/>
          <w:numId w:val="2"/>
        </w:numPr>
        <w:shd w:val="clear" w:color="auto" w:fill="FFFFFF"/>
        <w:spacing w:after="0" w:line="240" w:lineRule="auto"/>
        <w:ind w:left="0" w:firstLine="709"/>
        <w:jc w:val="both"/>
        <w:rPr>
          <w:szCs w:val="28"/>
        </w:rPr>
      </w:pPr>
      <w:r w:rsidRPr="00D760AA">
        <w:rPr>
          <w:szCs w:val="28"/>
        </w:rPr>
        <w:t>заключение, содержащее основные выводы и обобщения по теме контрольной работы;</w:t>
      </w:r>
    </w:p>
    <w:p w:rsidR="005A16B8" w:rsidRPr="00D760AA" w:rsidRDefault="005A16B8" w:rsidP="005A16B8">
      <w:pPr>
        <w:numPr>
          <w:ilvl w:val="0"/>
          <w:numId w:val="2"/>
        </w:numPr>
        <w:shd w:val="clear" w:color="auto" w:fill="FFFFFF"/>
        <w:spacing w:after="0" w:line="240" w:lineRule="auto"/>
        <w:ind w:left="0" w:firstLine="709"/>
        <w:jc w:val="both"/>
        <w:rPr>
          <w:szCs w:val="28"/>
        </w:rPr>
      </w:pPr>
      <w:r w:rsidRPr="00D760AA">
        <w:rPr>
          <w:szCs w:val="28"/>
        </w:rPr>
        <w:t>список использованных в работе учебных и научных источников.</w:t>
      </w:r>
    </w:p>
    <w:p w:rsidR="005A16B8" w:rsidRDefault="005A16B8"/>
    <w:p w:rsidR="0006553B" w:rsidRDefault="0006553B"/>
    <w:p w:rsidR="0006553B" w:rsidRDefault="0006553B" w:rsidP="0006553B">
      <w:pPr>
        <w:pStyle w:val="2"/>
        <w:rPr>
          <w:b/>
        </w:rPr>
      </w:pPr>
      <w:bookmarkStart w:id="0" w:name="_Toc322441732"/>
      <w:r>
        <w:rPr>
          <w:b/>
        </w:rPr>
        <w:t xml:space="preserve">Тема 9. Соотношение </w:t>
      </w:r>
      <w:proofErr w:type="gramStart"/>
      <w:r>
        <w:rPr>
          <w:b/>
        </w:rPr>
        <w:t>природного</w:t>
      </w:r>
      <w:proofErr w:type="gramEnd"/>
      <w:r>
        <w:rPr>
          <w:b/>
        </w:rPr>
        <w:t xml:space="preserve"> и социального</w:t>
      </w:r>
      <w:bookmarkEnd w:id="0"/>
    </w:p>
    <w:p w:rsidR="0006553B" w:rsidRDefault="0006553B" w:rsidP="0006553B">
      <w:pPr>
        <w:widowControl w:val="0"/>
        <w:spacing w:after="0" w:line="240" w:lineRule="auto"/>
        <w:ind w:firstLine="709"/>
        <w:jc w:val="both"/>
      </w:pPr>
    </w:p>
    <w:p w:rsidR="0006553B" w:rsidRDefault="0006553B" w:rsidP="0006553B">
      <w:pPr>
        <w:widowControl w:val="0"/>
        <w:spacing w:after="0" w:line="240" w:lineRule="auto"/>
        <w:ind w:left="709" w:hanging="425"/>
        <w:jc w:val="both"/>
      </w:pPr>
      <w:r>
        <w:t>1.  Природно-географические условия социальной жизни.</w:t>
      </w:r>
    </w:p>
    <w:p w:rsidR="0006553B" w:rsidRDefault="0006553B" w:rsidP="0006553B">
      <w:pPr>
        <w:widowControl w:val="0"/>
        <w:spacing w:after="0" w:line="240" w:lineRule="auto"/>
        <w:ind w:left="709" w:hanging="425"/>
        <w:jc w:val="both"/>
      </w:pPr>
      <w:r>
        <w:t>2.  Особенности биологии человека как предпосылка социальной жизни.</w:t>
      </w:r>
    </w:p>
    <w:p w:rsidR="0006553B" w:rsidRDefault="0006553B" w:rsidP="0006553B">
      <w:pPr>
        <w:widowControl w:val="0"/>
        <w:spacing w:after="0" w:line="240" w:lineRule="auto"/>
        <w:ind w:left="709" w:hanging="425"/>
        <w:jc w:val="both"/>
      </w:pPr>
      <w:r>
        <w:t>3. Понятие социальной жизни. Взаимосвязь социального и природного в развитии личности и общества.</w:t>
      </w:r>
    </w:p>
    <w:p w:rsidR="0006553B" w:rsidRDefault="0006553B" w:rsidP="0006553B">
      <w:pPr>
        <w:widowControl w:val="0"/>
        <w:spacing w:after="0" w:line="240" w:lineRule="auto"/>
        <w:ind w:left="993" w:hanging="284"/>
        <w:jc w:val="both"/>
      </w:pPr>
    </w:p>
    <w:p w:rsidR="0006553B" w:rsidRDefault="0006553B" w:rsidP="0006553B">
      <w:pPr>
        <w:shd w:val="clear" w:color="auto" w:fill="FFFFFF"/>
        <w:spacing w:after="0" w:line="240" w:lineRule="auto"/>
        <w:ind w:firstLine="709"/>
        <w:jc w:val="both"/>
        <w:rPr>
          <w:color w:val="000000"/>
          <w:spacing w:val="-4"/>
          <w:szCs w:val="28"/>
        </w:rPr>
      </w:pPr>
      <w:r>
        <w:rPr>
          <w:color w:val="000000"/>
          <w:spacing w:val="-4"/>
          <w:szCs w:val="28"/>
        </w:rPr>
        <w:t>Системный ана</w:t>
      </w:r>
      <w:r>
        <w:rPr>
          <w:color w:val="000000"/>
          <w:szCs w:val="28"/>
        </w:rPr>
        <w:t xml:space="preserve">лиз Т. </w:t>
      </w:r>
      <w:proofErr w:type="spellStart"/>
      <w:r>
        <w:rPr>
          <w:color w:val="000000"/>
          <w:szCs w:val="28"/>
        </w:rPr>
        <w:t>Парсонса</w:t>
      </w:r>
      <w:proofErr w:type="spellEnd"/>
      <w:r>
        <w:rPr>
          <w:color w:val="000000"/>
          <w:szCs w:val="28"/>
        </w:rPr>
        <w:t>. Основные функции систем действий: адапта</w:t>
      </w:r>
      <w:r>
        <w:rPr>
          <w:color w:val="000000"/>
          <w:spacing w:val="-10"/>
          <w:szCs w:val="28"/>
        </w:rPr>
        <w:t xml:space="preserve">ция, </w:t>
      </w:r>
      <w:proofErr w:type="spellStart"/>
      <w:r>
        <w:rPr>
          <w:color w:val="000000"/>
          <w:spacing w:val="-10"/>
          <w:szCs w:val="28"/>
        </w:rPr>
        <w:t>целедостижение</w:t>
      </w:r>
      <w:proofErr w:type="spellEnd"/>
      <w:r>
        <w:rPr>
          <w:color w:val="000000"/>
          <w:spacing w:val="-10"/>
          <w:szCs w:val="28"/>
        </w:rPr>
        <w:t>, интеграция и латентность. Социальная, лич</w:t>
      </w:r>
      <w:r>
        <w:rPr>
          <w:color w:val="000000"/>
          <w:spacing w:val="-8"/>
          <w:szCs w:val="28"/>
        </w:rPr>
        <w:t xml:space="preserve">ностная, </w:t>
      </w:r>
      <w:r>
        <w:rPr>
          <w:iCs/>
          <w:color w:val="000000"/>
          <w:spacing w:val="-8"/>
          <w:szCs w:val="28"/>
        </w:rPr>
        <w:t>культурная</w:t>
      </w:r>
      <w:r>
        <w:rPr>
          <w:i/>
          <w:iCs/>
          <w:color w:val="000000"/>
          <w:spacing w:val="-8"/>
          <w:szCs w:val="28"/>
        </w:rPr>
        <w:t xml:space="preserve"> </w:t>
      </w:r>
      <w:r>
        <w:rPr>
          <w:color w:val="000000"/>
          <w:spacing w:val="-8"/>
          <w:szCs w:val="28"/>
        </w:rPr>
        <w:t>системы и поведенческий организм. Структура социальной системы: ценности, нормы, коллективы и роли. Институционализация как процесс образования устойчивых мо</w:t>
      </w:r>
      <w:r>
        <w:rPr>
          <w:color w:val="000000"/>
          <w:spacing w:val="-7"/>
          <w:szCs w:val="28"/>
        </w:rPr>
        <w:t xml:space="preserve">делей взаимодействия социальных деятелей. </w:t>
      </w:r>
      <w:r>
        <w:rPr>
          <w:color w:val="000000"/>
          <w:spacing w:val="-7"/>
          <w:szCs w:val="28"/>
        </w:rPr>
        <w:lastRenderedPageBreak/>
        <w:t>Подсистемы соци</w:t>
      </w:r>
      <w:r>
        <w:rPr>
          <w:color w:val="000000"/>
          <w:spacing w:val="-8"/>
          <w:szCs w:val="28"/>
        </w:rPr>
        <w:t>альной системы: экономическая, политическая системы, подсис</w:t>
      </w:r>
      <w:r>
        <w:rPr>
          <w:color w:val="000000"/>
          <w:spacing w:val="-4"/>
          <w:szCs w:val="28"/>
        </w:rPr>
        <w:t xml:space="preserve">темы </w:t>
      </w:r>
      <w:proofErr w:type="spellStart"/>
      <w:r>
        <w:rPr>
          <w:color w:val="000000"/>
          <w:spacing w:val="-4"/>
          <w:szCs w:val="28"/>
        </w:rPr>
        <w:t>социетальной</w:t>
      </w:r>
      <w:proofErr w:type="spellEnd"/>
      <w:r>
        <w:rPr>
          <w:color w:val="000000"/>
          <w:spacing w:val="-4"/>
          <w:szCs w:val="28"/>
        </w:rPr>
        <w:t xml:space="preserve"> общности и социализации. </w:t>
      </w:r>
    </w:p>
    <w:p w:rsidR="0006553B" w:rsidRDefault="0006553B" w:rsidP="0006553B">
      <w:pPr>
        <w:shd w:val="clear" w:color="auto" w:fill="FFFFFF"/>
        <w:spacing w:after="0" w:line="240" w:lineRule="auto"/>
        <w:ind w:firstLine="709"/>
        <w:jc w:val="both"/>
        <w:rPr>
          <w:szCs w:val="28"/>
        </w:rPr>
      </w:pPr>
      <w:r>
        <w:rPr>
          <w:color w:val="000000"/>
          <w:szCs w:val="28"/>
        </w:rPr>
        <w:t xml:space="preserve">«Социальное пространство» и «социальное время» как </w:t>
      </w:r>
      <w:r>
        <w:rPr>
          <w:color w:val="000000"/>
          <w:spacing w:val="-3"/>
          <w:szCs w:val="28"/>
        </w:rPr>
        <w:t>ключевые понятия социологии. Концепция социального про</w:t>
      </w:r>
      <w:r>
        <w:rPr>
          <w:color w:val="000000"/>
          <w:spacing w:val="-4"/>
          <w:szCs w:val="28"/>
        </w:rPr>
        <w:t>странства П. Сорокина. Принципиальные отличия социально</w:t>
      </w:r>
      <w:r>
        <w:rPr>
          <w:color w:val="000000"/>
          <w:spacing w:val="1"/>
          <w:szCs w:val="28"/>
        </w:rPr>
        <w:t xml:space="preserve">го пространства </w:t>
      </w:r>
      <w:proofErr w:type="gramStart"/>
      <w:r>
        <w:rPr>
          <w:color w:val="000000"/>
          <w:spacing w:val="1"/>
          <w:szCs w:val="28"/>
        </w:rPr>
        <w:t>от</w:t>
      </w:r>
      <w:proofErr w:type="gramEnd"/>
      <w:r>
        <w:rPr>
          <w:color w:val="000000"/>
          <w:spacing w:val="1"/>
          <w:szCs w:val="28"/>
        </w:rPr>
        <w:t xml:space="preserve"> физического. Социальное пространство </w:t>
      </w:r>
      <w:r>
        <w:rPr>
          <w:color w:val="000000"/>
          <w:spacing w:val="-2"/>
          <w:szCs w:val="28"/>
        </w:rPr>
        <w:t>и социальные отношения. Соотнесение социального и физи</w:t>
      </w:r>
      <w:r>
        <w:rPr>
          <w:color w:val="000000"/>
          <w:spacing w:val="1"/>
          <w:szCs w:val="28"/>
        </w:rPr>
        <w:t xml:space="preserve">ческого пространства в концепции П. </w:t>
      </w:r>
      <w:proofErr w:type="spellStart"/>
      <w:r>
        <w:rPr>
          <w:color w:val="000000"/>
          <w:spacing w:val="1"/>
          <w:szCs w:val="28"/>
        </w:rPr>
        <w:t>Бурдье</w:t>
      </w:r>
      <w:proofErr w:type="spellEnd"/>
      <w:r>
        <w:rPr>
          <w:color w:val="000000"/>
          <w:spacing w:val="1"/>
          <w:szCs w:val="28"/>
        </w:rPr>
        <w:t xml:space="preserve">. Социальное </w:t>
      </w:r>
      <w:r>
        <w:rPr>
          <w:color w:val="000000"/>
          <w:spacing w:val="-1"/>
          <w:szCs w:val="28"/>
        </w:rPr>
        <w:t>конструирование пространства. Семиотический анализ про</w:t>
      </w:r>
      <w:r>
        <w:rPr>
          <w:color w:val="000000"/>
          <w:spacing w:val="-2"/>
          <w:szCs w:val="28"/>
        </w:rPr>
        <w:t xml:space="preserve">странства. «Пограничные» и «экстремальные» пространства. </w:t>
      </w:r>
      <w:r>
        <w:rPr>
          <w:color w:val="000000"/>
          <w:spacing w:val="1"/>
          <w:szCs w:val="28"/>
        </w:rPr>
        <w:t xml:space="preserve">Специфика </w:t>
      </w:r>
      <w:proofErr w:type="spellStart"/>
      <w:r>
        <w:rPr>
          <w:color w:val="000000"/>
          <w:spacing w:val="1"/>
          <w:szCs w:val="28"/>
        </w:rPr>
        <w:t>микросоциологического</w:t>
      </w:r>
      <w:proofErr w:type="spellEnd"/>
      <w:r>
        <w:rPr>
          <w:color w:val="000000"/>
          <w:spacing w:val="1"/>
          <w:szCs w:val="28"/>
        </w:rPr>
        <w:t xml:space="preserve"> подхода к анализу со</w:t>
      </w:r>
      <w:r>
        <w:rPr>
          <w:color w:val="000000"/>
          <w:szCs w:val="28"/>
        </w:rPr>
        <w:t>циального пространства. Социальное время как последова</w:t>
      </w:r>
      <w:r>
        <w:rPr>
          <w:color w:val="000000"/>
          <w:spacing w:val="-2"/>
          <w:szCs w:val="28"/>
        </w:rPr>
        <w:t>тельность и ритмичность социальных событий. «</w:t>
      </w:r>
      <w:proofErr w:type="spellStart"/>
      <w:r>
        <w:rPr>
          <w:color w:val="000000"/>
          <w:spacing w:val="-2"/>
          <w:szCs w:val="28"/>
        </w:rPr>
        <w:t>Социокуль</w:t>
      </w:r>
      <w:r>
        <w:rPr>
          <w:color w:val="000000"/>
          <w:spacing w:val="1"/>
          <w:szCs w:val="28"/>
        </w:rPr>
        <w:t>турное</w:t>
      </w:r>
      <w:proofErr w:type="spellEnd"/>
      <w:r>
        <w:rPr>
          <w:color w:val="000000"/>
          <w:spacing w:val="1"/>
          <w:szCs w:val="28"/>
        </w:rPr>
        <w:t xml:space="preserve"> время» в концепциях П. Сорокина и Р. Мертона. </w:t>
      </w:r>
      <w:r>
        <w:rPr>
          <w:color w:val="000000"/>
          <w:spacing w:val="-2"/>
          <w:szCs w:val="28"/>
        </w:rPr>
        <w:t>Категории времени Г. Гурвича. «</w:t>
      </w:r>
      <w:proofErr w:type="spellStart"/>
      <w:r>
        <w:rPr>
          <w:color w:val="000000"/>
          <w:spacing w:val="-2"/>
          <w:szCs w:val="28"/>
        </w:rPr>
        <w:t>Микросоциальное</w:t>
      </w:r>
      <w:proofErr w:type="spellEnd"/>
      <w:r>
        <w:rPr>
          <w:color w:val="000000"/>
          <w:spacing w:val="-2"/>
          <w:szCs w:val="28"/>
        </w:rPr>
        <w:t>» и «мак</w:t>
      </w:r>
      <w:r>
        <w:rPr>
          <w:color w:val="000000"/>
          <w:szCs w:val="28"/>
        </w:rPr>
        <w:t>росоциальное» время. Роль времени в организации и функ</w:t>
      </w:r>
      <w:r>
        <w:rPr>
          <w:color w:val="000000"/>
          <w:spacing w:val="-1"/>
          <w:szCs w:val="28"/>
        </w:rPr>
        <w:t xml:space="preserve">ционировании общества в концепции </w:t>
      </w:r>
      <w:proofErr w:type="gramStart"/>
      <w:r>
        <w:rPr>
          <w:color w:val="000000"/>
          <w:spacing w:val="-1"/>
          <w:szCs w:val="28"/>
        </w:rPr>
        <w:t>Дж</w:t>
      </w:r>
      <w:proofErr w:type="gramEnd"/>
      <w:r>
        <w:rPr>
          <w:color w:val="000000"/>
          <w:spacing w:val="-1"/>
          <w:szCs w:val="28"/>
        </w:rPr>
        <w:t xml:space="preserve">. Льюиса и Э. </w:t>
      </w:r>
      <w:proofErr w:type="spellStart"/>
      <w:r>
        <w:rPr>
          <w:color w:val="000000"/>
          <w:spacing w:val="-1"/>
          <w:szCs w:val="28"/>
        </w:rPr>
        <w:t>Вай</w:t>
      </w:r>
      <w:r>
        <w:rPr>
          <w:color w:val="000000"/>
          <w:szCs w:val="28"/>
        </w:rPr>
        <w:t>герта</w:t>
      </w:r>
      <w:proofErr w:type="spellEnd"/>
      <w:r>
        <w:rPr>
          <w:color w:val="000000"/>
          <w:szCs w:val="28"/>
        </w:rPr>
        <w:t xml:space="preserve">. Время как механизм социального контроля: позиция </w:t>
      </w:r>
      <w:r>
        <w:rPr>
          <w:color w:val="000000"/>
          <w:spacing w:val="-1"/>
          <w:szCs w:val="28"/>
        </w:rPr>
        <w:t xml:space="preserve">М. Фуко. «Количественное» и «качественное» время. </w:t>
      </w:r>
      <w:proofErr w:type="spellStart"/>
      <w:r>
        <w:rPr>
          <w:color w:val="000000"/>
          <w:spacing w:val="-1"/>
          <w:szCs w:val="28"/>
        </w:rPr>
        <w:t>Моно</w:t>
      </w:r>
      <w:r>
        <w:rPr>
          <w:color w:val="000000"/>
          <w:spacing w:val="-3"/>
          <w:szCs w:val="28"/>
        </w:rPr>
        <w:t>хроническое</w:t>
      </w:r>
      <w:proofErr w:type="spellEnd"/>
      <w:r>
        <w:rPr>
          <w:color w:val="000000"/>
          <w:spacing w:val="-3"/>
          <w:szCs w:val="28"/>
        </w:rPr>
        <w:t xml:space="preserve"> и </w:t>
      </w:r>
      <w:proofErr w:type="spellStart"/>
      <w:r>
        <w:rPr>
          <w:color w:val="000000"/>
          <w:spacing w:val="-3"/>
          <w:szCs w:val="28"/>
        </w:rPr>
        <w:t>полихроническое</w:t>
      </w:r>
      <w:proofErr w:type="spellEnd"/>
      <w:r>
        <w:rPr>
          <w:color w:val="000000"/>
          <w:spacing w:val="-3"/>
          <w:szCs w:val="28"/>
        </w:rPr>
        <w:t xml:space="preserve"> время. Теоретические моде</w:t>
      </w:r>
      <w:r>
        <w:rPr>
          <w:color w:val="000000"/>
          <w:szCs w:val="28"/>
        </w:rPr>
        <w:t>ли социального времени.</w:t>
      </w:r>
    </w:p>
    <w:p w:rsidR="0006553B" w:rsidRDefault="0006553B"/>
    <w:p w:rsidR="0006553B" w:rsidRDefault="0006553B"/>
    <w:sectPr w:rsidR="0006553B" w:rsidSect="002A4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A4AB4"/>
    <w:multiLevelType w:val="singleLevel"/>
    <w:tmpl w:val="33268BC8"/>
    <w:lvl w:ilvl="0">
      <w:start w:val="1"/>
      <w:numFmt w:val="decimal"/>
      <w:lvlText w:val="%1."/>
      <w:lvlJc w:val="left"/>
      <w:pPr>
        <w:tabs>
          <w:tab w:val="num" w:pos="1069"/>
        </w:tabs>
        <w:ind w:left="1069" w:hanging="360"/>
      </w:pPr>
      <w:rPr>
        <w:rFonts w:hint="default"/>
      </w:rPr>
    </w:lvl>
  </w:abstractNum>
  <w:abstractNum w:abstractNumId="1">
    <w:nsid w:val="5A1D6493"/>
    <w:multiLevelType w:val="multilevel"/>
    <w:tmpl w:val="008C65FC"/>
    <w:lvl w:ilvl="0">
      <w:start w:val="4"/>
      <w:numFmt w:val="bullet"/>
      <w:lvlText w:val="-"/>
      <w:lvlJc w:val="left"/>
      <w:pPr>
        <w:tabs>
          <w:tab w:val="num" w:pos="825"/>
        </w:tabs>
        <w:ind w:left="825" w:hanging="465"/>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A16B8"/>
    <w:rsid w:val="0006553B"/>
    <w:rsid w:val="000E665B"/>
    <w:rsid w:val="00242FCF"/>
    <w:rsid w:val="002A4072"/>
    <w:rsid w:val="004E3137"/>
    <w:rsid w:val="00540D62"/>
    <w:rsid w:val="005A16B8"/>
    <w:rsid w:val="005E27DC"/>
    <w:rsid w:val="00665DA1"/>
    <w:rsid w:val="006B502B"/>
    <w:rsid w:val="007C0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580"/>
        <w:szCs w:val="19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D62"/>
    <w:rPr>
      <w:sz w:val="28"/>
    </w:rPr>
  </w:style>
  <w:style w:type="paragraph" w:styleId="2">
    <w:name w:val="heading 2"/>
    <w:basedOn w:val="a"/>
    <w:next w:val="a"/>
    <w:link w:val="20"/>
    <w:qFormat/>
    <w:rsid w:val="005A16B8"/>
    <w:pPr>
      <w:keepNext/>
      <w:widowControl w:val="0"/>
      <w:spacing w:after="0" w:line="240" w:lineRule="auto"/>
      <w:ind w:firstLine="709"/>
      <w:jc w:val="center"/>
      <w:outlineLvl w:val="1"/>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16B8"/>
    <w:rPr>
      <w:rFonts w:eastAsia="Times New Roman"/>
      <w:sz w:val="28"/>
      <w:szCs w:val="20"/>
      <w:lang w:eastAsia="ru-RU"/>
    </w:rPr>
  </w:style>
  <w:style w:type="paragraph" w:styleId="a3">
    <w:name w:val="Body Text Indent"/>
    <w:basedOn w:val="a"/>
    <w:link w:val="a4"/>
    <w:rsid w:val="005A16B8"/>
    <w:pPr>
      <w:widowControl w:val="0"/>
      <w:spacing w:after="0" w:line="240" w:lineRule="auto"/>
      <w:ind w:left="709"/>
      <w:jc w:val="both"/>
    </w:pPr>
    <w:rPr>
      <w:rFonts w:eastAsia="Times New Roman"/>
      <w:szCs w:val="20"/>
      <w:lang w:eastAsia="ru-RU"/>
    </w:rPr>
  </w:style>
  <w:style w:type="character" w:customStyle="1" w:styleId="a4">
    <w:name w:val="Основной текст с отступом Знак"/>
    <w:basedOn w:val="a0"/>
    <w:link w:val="a3"/>
    <w:rsid w:val="005A16B8"/>
    <w:rPr>
      <w:rFonts w:eastAsia="Times New Roman"/>
      <w:sz w:val="28"/>
      <w:szCs w:val="20"/>
      <w:lang w:eastAsia="ru-RU"/>
    </w:rPr>
  </w:style>
  <w:style w:type="paragraph" w:styleId="a5">
    <w:name w:val="Normal (Web)"/>
    <w:basedOn w:val="a"/>
    <w:rsid w:val="005A16B8"/>
    <w:pPr>
      <w:spacing w:after="0" w:line="240" w:lineRule="auto"/>
    </w:pPr>
    <w:rPr>
      <w:rFonts w:ascii="Arial" w:eastAsia="Times New Roman" w:hAnsi="Arial" w:cs="Arial"/>
      <w:color w:val="333333"/>
      <w:sz w:val="20"/>
      <w:szCs w:val="20"/>
      <w:lang w:eastAsia="ru-RU"/>
    </w:rPr>
  </w:style>
  <w:style w:type="paragraph" w:customStyle="1" w:styleId="4">
    <w:name w:val="А4_Текст"/>
    <w:basedOn w:val="a"/>
    <w:rsid w:val="005A16B8"/>
    <w:pPr>
      <w:spacing w:after="0" w:line="240" w:lineRule="auto"/>
      <w:ind w:firstLine="567"/>
      <w:jc w:val="both"/>
    </w:pPr>
    <w:rPr>
      <w:rFonts w:eastAsia="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12012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2604</Characters>
  <Application>Microsoft Office Word</Application>
  <DocSecurity>0</DocSecurity>
  <Lines>21</Lines>
  <Paragraphs>6</Paragraphs>
  <ScaleCrop>false</ScaleCrop>
  <Company>Reanimator Extreme Edition</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5</cp:revision>
  <dcterms:created xsi:type="dcterms:W3CDTF">2015-09-29T18:11:00Z</dcterms:created>
  <dcterms:modified xsi:type="dcterms:W3CDTF">2015-12-21T15:53:00Z</dcterms:modified>
</cp:coreProperties>
</file>